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C75368">
        <w:t>86</w:t>
      </w:r>
      <w:r w:rsidRPr="00446F9D">
        <w:tab/>
        <w:t>R1-</w:t>
      </w:r>
      <w:r>
        <w:t>16</w:t>
      </w:r>
      <w:r w:rsidR="0013216A">
        <w:t>7458</w:t>
      </w:r>
    </w:p>
    <w:p w:rsidR="00A85E54" w:rsidRPr="000833FA" w:rsidRDefault="00C75368" w:rsidP="00A85E54">
      <w:pPr>
        <w:pStyle w:val="Header"/>
        <w:rPr>
          <w:color w:val="000000"/>
        </w:rPr>
      </w:pPr>
      <w:r>
        <w:t>Gothenburg, Sweden, August 22 – 26, 2016</w:t>
      </w:r>
    </w:p>
    <w:p w:rsidR="00A85E54" w:rsidRPr="000833FA" w:rsidRDefault="00A85E54" w:rsidP="00A85E54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C147AE">
        <w:rPr>
          <w:lang w:eastAsia="ja-JP"/>
        </w:rPr>
        <w:t>Antenna model for outdoor TRP for micro</w:t>
      </w:r>
      <w:r w:rsidR="002B4B7C">
        <w:rPr>
          <w:lang w:eastAsia="ja-JP"/>
        </w:rPr>
        <w:t xml:space="preserve"> in dense urban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973B18">
        <w:t>8.1.7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17779E" w:rsidRDefault="0017779E" w:rsidP="00FE5799">
      <w:pPr>
        <w:pStyle w:val="Heading1"/>
        <w:spacing w:before="180"/>
        <w:ind w:left="562" w:hanging="562"/>
      </w:pPr>
      <w:r>
        <w:t>Introduction</w:t>
      </w:r>
    </w:p>
    <w:p w:rsidR="00927C53" w:rsidRDefault="00426AA5" w:rsidP="00426AA5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RAN1#85, there was a discussion on antenna model and placement of micro cell TRP</w:t>
      </w:r>
      <w:r w:rsidR="00927C53">
        <w:rPr>
          <w:rFonts w:eastAsia="MS Mincho"/>
          <w:lang w:eastAsia="ja-JP"/>
        </w:rPr>
        <w:t xml:space="preserve"> in the dense urban scenario, an agreed way forward [1] </w:t>
      </w:r>
      <w:r>
        <w:rPr>
          <w:rFonts w:eastAsia="MS Mincho"/>
          <w:lang w:eastAsia="ja-JP"/>
        </w:rPr>
        <w:t xml:space="preserve">and a following email discussion regarding </w:t>
      </w:r>
      <w:r w:rsidR="00927C53">
        <w:rPr>
          <w:rFonts w:eastAsia="MS Mincho"/>
          <w:lang w:eastAsia="ja-JP"/>
        </w:rPr>
        <w:t xml:space="preserve">clarification of </w:t>
      </w:r>
      <w:r>
        <w:rPr>
          <w:rFonts w:eastAsia="MS Mincho"/>
          <w:lang w:eastAsia="ja-JP"/>
        </w:rPr>
        <w:t xml:space="preserve">Option 1. </w:t>
      </w:r>
    </w:p>
    <w:p w:rsidR="00927C53" w:rsidRDefault="00927C53" w:rsidP="00426AA5">
      <w:pPr>
        <w:jc w:val="both"/>
        <w:rPr>
          <w:rFonts w:eastAsia="MS Mincho"/>
          <w:lang w:eastAsia="ja-JP"/>
        </w:rPr>
      </w:pPr>
    </w:p>
    <w:p w:rsidR="00FA3EF4" w:rsidRDefault="00426AA5" w:rsidP="00426AA5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agreement </w:t>
      </w:r>
      <w:r w:rsidR="00927C53">
        <w:rPr>
          <w:rFonts w:eastAsia="MS Mincho"/>
          <w:lang w:eastAsia="ja-JP"/>
        </w:rPr>
        <w:t xml:space="preserve">[1] </w:t>
      </w:r>
      <w:r>
        <w:rPr>
          <w:rFonts w:eastAsia="MS Mincho"/>
          <w:lang w:eastAsia="ja-JP"/>
        </w:rPr>
        <w:t xml:space="preserve">included a recommendation that RAN1 to choose from the </w:t>
      </w:r>
      <w:r w:rsidRPr="00426AA5">
        <w:rPr>
          <w:rFonts w:eastAsia="MS Mincho"/>
          <w:lang w:eastAsia="ja-JP"/>
        </w:rPr>
        <w:t xml:space="preserve">options in RAN1#86 for the above 6GHz and below 6GHz </w:t>
      </w:r>
      <w:r>
        <w:rPr>
          <w:rFonts w:eastAsia="MS Mincho"/>
          <w:lang w:eastAsia="ja-JP"/>
        </w:rPr>
        <w:t>while</w:t>
      </w:r>
      <w:r w:rsidRPr="00426AA5">
        <w:rPr>
          <w:rFonts w:eastAsia="MS Mincho"/>
          <w:lang w:eastAsia="ja-JP"/>
        </w:rPr>
        <w:t xml:space="preserve"> other options are not precluded</w:t>
      </w:r>
      <w:r>
        <w:rPr>
          <w:rFonts w:eastAsia="MS Mincho"/>
          <w:lang w:eastAsia="ja-JP"/>
        </w:rPr>
        <w:t xml:space="preserve">. Hence, the options to choose from are the following two: </w:t>
      </w:r>
    </w:p>
    <w:p w:rsidR="00426AA5" w:rsidRDefault="00426AA5" w:rsidP="00426AA5">
      <w:pPr>
        <w:rPr>
          <w:rFonts w:eastAsia="MS Mincho"/>
          <w:lang w:eastAsia="ja-JP"/>
        </w:rPr>
      </w:pPr>
    </w:p>
    <w:p w:rsidR="002B35F0" w:rsidRPr="00426AA5" w:rsidRDefault="00443D10" w:rsidP="00426AA5">
      <w:pPr>
        <w:numPr>
          <w:ilvl w:val="0"/>
          <w:numId w:val="16"/>
        </w:numPr>
        <w:rPr>
          <w:rFonts w:eastAsia="MS Mincho"/>
          <w:lang w:eastAsia="ja-JP"/>
        </w:rPr>
      </w:pPr>
      <w:r w:rsidRPr="00426AA5">
        <w:rPr>
          <w:rFonts w:eastAsia="MS Mincho"/>
          <w:b/>
          <w:lang w:eastAsia="ja-JP"/>
        </w:rPr>
        <w:t>Option 1</w:t>
      </w:r>
      <w:r w:rsidRPr="00426AA5">
        <w:rPr>
          <w:rFonts w:eastAsia="MS Mincho"/>
          <w:lang w:eastAsia="ja-JP"/>
        </w:rPr>
        <w:t>: Omni in horizontal, directional in vertical (</w:t>
      </w:r>
      <w:r w:rsidR="00426AA5">
        <w:rPr>
          <w:rFonts w:eastAsia="MS Mincho"/>
          <w:lang w:eastAsia="ja-JP"/>
        </w:rPr>
        <w:t xml:space="preserve">4 </w:t>
      </w:r>
      <w:proofErr w:type="spellStart"/>
      <w:r w:rsidRPr="00426AA5">
        <w:rPr>
          <w:rFonts w:eastAsia="MS Mincho"/>
          <w:lang w:eastAsia="ja-JP"/>
        </w:rPr>
        <w:t>dBi</w:t>
      </w:r>
      <w:proofErr w:type="spellEnd"/>
      <w:r w:rsidRPr="00426AA5">
        <w:rPr>
          <w:rFonts w:eastAsia="MS Mincho"/>
          <w:lang w:eastAsia="ja-JP"/>
        </w:rPr>
        <w:t xml:space="preserve"> gain, HPBW 40</w:t>
      </w:r>
      <w:r w:rsidRPr="00426AA5">
        <w:rPr>
          <w:rFonts w:eastAsia="MS Mincho"/>
          <w:vertAlign w:val="superscript"/>
          <w:lang w:eastAsia="ja-JP"/>
        </w:rPr>
        <w:t>0</w:t>
      </w:r>
      <w:r w:rsidRPr="00426AA5">
        <w:rPr>
          <w:rFonts w:eastAsia="MS Mincho"/>
          <w:lang w:eastAsia="ja-JP"/>
        </w:rPr>
        <w:t>, vertical tilt 90</w:t>
      </w:r>
      <w:r w:rsidRPr="00426AA5">
        <w:rPr>
          <w:rFonts w:eastAsia="MS Mincho"/>
          <w:vertAlign w:val="superscript"/>
          <w:lang w:eastAsia="ja-JP"/>
        </w:rPr>
        <w:t>0</w:t>
      </w:r>
      <w:r w:rsidRPr="00426AA5">
        <w:rPr>
          <w:rFonts w:eastAsia="MS Mincho"/>
          <w:lang w:eastAsia="ja-JP"/>
        </w:rPr>
        <w:t>)</w:t>
      </w:r>
    </w:p>
    <w:p w:rsidR="002B35F0" w:rsidRPr="00426AA5" w:rsidRDefault="00443D10" w:rsidP="00426AA5">
      <w:pPr>
        <w:numPr>
          <w:ilvl w:val="1"/>
          <w:numId w:val="16"/>
        </w:numPr>
        <w:rPr>
          <w:rFonts w:eastAsia="MS Mincho"/>
          <w:lang w:eastAsia="ja-JP"/>
        </w:rPr>
      </w:pPr>
      <w:r w:rsidRPr="00426AA5">
        <w:rPr>
          <w:rFonts w:eastAsia="MS Mincho"/>
          <w:lang w:eastAsia="ja-JP"/>
        </w:rPr>
        <w:t>Dropping in the center of the hotspot area</w:t>
      </w:r>
    </w:p>
    <w:p w:rsidR="002B35F0" w:rsidRPr="00426AA5" w:rsidRDefault="00443D10" w:rsidP="00426AA5">
      <w:pPr>
        <w:numPr>
          <w:ilvl w:val="0"/>
          <w:numId w:val="16"/>
        </w:numPr>
        <w:rPr>
          <w:rFonts w:eastAsia="MS Mincho"/>
          <w:lang w:eastAsia="ja-JP"/>
        </w:rPr>
      </w:pPr>
      <w:r w:rsidRPr="00426AA5">
        <w:rPr>
          <w:rFonts w:eastAsia="MS Mincho"/>
          <w:b/>
          <w:lang w:eastAsia="ja-JP"/>
        </w:rPr>
        <w:t>Option 2:</w:t>
      </w:r>
      <w:r w:rsidRPr="00426AA5">
        <w:rPr>
          <w:rFonts w:eastAsia="MS Mincho"/>
          <w:lang w:eastAsia="ja-JP"/>
        </w:rPr>
        <w:t xml:space="preserve"> Directional in horizontal, directional in vertical ({8dBi gain, HPBW = 65</w:t>
      </w:r>
      <w:r w:rsidRPr="00426AA5">
        <w:rPr>
          <w:rFonts w:eastAsia="MS Mincho"/>
          <w:vertAlign w:val="superscript"/>
          <w:lang w:eastAsia="ja-JP"/>
        </w:rPr>
        <w:t>0</w:t>
      </w:r>
      <w:r w:rsidRPr="00426AA5">
        <w:rPr>
          <w:rFonts w:eastAsia="MS Mincho"/>
          <w:lang w:eastAsia="ja-JP"/>
        </w:rPr>
        <w:t>}; {4dBi gain, HPBW = 130</w:t>
      </w:r>
      <w:r w:rsidRPr="00426AA5">
        <w:rPr>
          <w:rFonts w:eastAsia="MS Mincho"/>
          <w:vertAlign w:val="superscript"/>
          <w:lang w:eastAsia="ja-JP"/>
        </w:rPr>
        <w:t>0</w:t>
      </w:r>
      <w:r w:rsidRPr="00426AA5">
        <w:rPr>
          <w:rFonts w:eastAsia="MS Mincho"/>
          <w:lang w:eastAsia="ja-JP"/>
        </w:rPr>
        <w:t>})</w:t>
      </w:r>
    </w:p>
    <w:p w:rsidR="002B35F0" w:rsidRPr="00426AA5" w:rsidRDefault="00443D10" w:rsidP="00426AA5">
      <w:pPr>
        <w:numPr>
          <w:ilvl w:val="1"/>
          <w:numId w:val="16"/>
        </w:numPr>
        <w:rPr>
          <w:rFonts w:eastAsia="MS Mincho"/>
          <w:lang w:eastAsia="ja-JP"/>
        </w:rPr>
      </w:pPr>
      <w:r w:rsidRPr="00426AA5">
        <w:rPr>
          <w:rFonts w:eastAsia="MS Mincho"/>
          <w:lang w:eastAsia="ja-JP"/>
        </w:rPr>
        <w:t>One-sector deployment</w:t>
      </w:r>
    </w:p>
    <w:p w:rsidR="002B35F0" w:rsidRPr="00426AA5" w:rsidRDefault="00443D10" w:rsidP="00426AA5">
      <w:pPr>
        <w:numPr>
          <w:ilvl w:val="2"/>
          <w:numId w:val="16"/>
        </w:numPr>
        <w:rPr>
          <w:rFonts w:eastAsia="MS Mincho"/>
          <w:lang w:eastAsia="ja-JP"/>
        </w:rPr>
      </w:pPr>
      <w:r w:rsidRPr="00426AA5">
        <w:rPr>
          <w:rFonts w:eastAsia="MS Mincho"/>
          <w:lang w:eastAsia="ja-JP"/>
        </w:rPr>
        <w:t>Dropping of TRP and TRP antenna orientation according to TR 36.897 (</w:t>
      </w:r>
      <w:proofErr w:type="spellStart"/>
      <w:r w:rsidRPr="00426AA5">
        <w:rPr>
          <w:rFonts w:eastAsia="MS Mincho"/>
          <w:lang w:eastAsia="ja-JP"/>
        </w:rPr>
        <w:t>non co-</w:t>
      </w:r>
      <w:proofErr w:type="spellEnd"/>
      <w:r w:rsidRPr="00426AA5">
        <w:rPr>
          <w:rFonts w:eastAsia="MS Mincho"/>
          <w:lang w:eastAsia="ja-JP"/>
        </w:rPr>
        <w:t xml:space="preserve">channel </w:t>
      </w:r>
      <w:proofErr w:type="spellStart"/>
      <w:r w:rsidRPr="00426AA5">
        <w:rPr>
          <w:rFonts w:eastAsia="MS Mincho"/>
          <w:lang w:eastAsia="ja-JP"/>
        </w:rPr>
        <w:t>hetnet</w:t>
      </w:r>
      <w:proofErr w:type="spellEnd"/>
      <w:r w:rsidRPr="00426AA5">
        <w:rPr>
          <w:rFonts w:eastAsia="MS Mincho"/>
          <w:lang w:eastAsia="ja-JP"/>
        </w:rPr>
        <w:t xml:space="preserve"> deployment)</w:t>
      </w:r>
      <w:r w:rsidR="00DA2DC8">
        <w:rPr>
          <w:rFonts w:eastAsia="MS Mincho"/>
          <w:lang w:eastAsia="ja-JP"/>
        </w:rPr>
        <w:t xml:space="preserve"> </w:t>
      </w:r>
    </w:p>
    <w:p w:rsidR="002B35F0" w:rsidRPr="00426AA5" w:rsidRDefault="00443D10" w:rsidP="00426AA5">
      <w:pPr>
        <w:numPr>
          <w:ilvl w:val="1"/>
          <w:numId w:val="16"/>
        </w:numPr>
        <w:rPr>
          <w:rFonts w:eastAsia="MS Mincho"/>
          <w:lang w:eastAsia="ja-JP"/>
        </w:rPr>
      </w:pPr>
      <w:r w:rsidRPr="00426AA5">
        <w:rPr>
          <w:rFonts w:eastAsia="MS Mincho"/>
          <w:lang w:eastAsia="ja-JP"/>
        </w:rPr>
        <w:t>Three-sector deployment</w:t>
      </w:r>
    </w:p>
    <w:p w:rsidR="002B35F0" w:rsidRPr="00426AA5" w:rsidRDefault="00443D10" w:rsidP="00426AA5">
      <w:pPr>
        <w:numPr>
          <w:ilvl w:val="2"/>
          <w:numId w:val="16"/>
        </w:numPr>
        <w:rPr>
          <w:rFonts w:eastAsia="MS Mincho"/>
          <w:lang w:eastAsia="ja-JP"/>
        </w:rPr>
      </w:pPr>
      <w:r w:rsidRPr="00426AA5">
        <w:rPr>
          <w:rFonts w:eastAsia="MS Mincho"/>
          <w:lang w:eastAsia="ja-JP"/>
        </w:rPr>
        <w:t>Dropping of TRP in the center of the hotspot area</w:t>
      </w:r>
    </w:p>
    <w:p w:rsidR="002B35F0" w:rsidRPr="00426AA5" w:rsidRDefault="00443D10" w:rsidP="00426AA5">
      <w:pPr>
        <w:numPr>
          <w:ilvl w:val="2"/>
          <w:numId w:val="16"/>
        </w:numPr>
        <w:rPr>
          <w:rFonts w:eastAsia="MS Mincho"/>
          <w:lang w:eastAsia="ja-JP"/>
        </w:rPr>
      </w:pPr>
      <w:r w:rsidRPr="00426AA5">
        <w:rPr>
          <w:rFonts w:eastAsia="MS Mincho"/>
          <w:lang w:eastAsia="ja-JP"/>
        </w:rPr>
        <w:t>Option A: Azimuth orientation of TRP antenna is random</w:t>
      </w:r>
    </w:p>
    <w:p w:rsidR="002B35F0" w:rsidRPr="00426AA5" w:rsidRDefault="00443D10" w:rsidP="00426AA5">
      <w:pPr>
        <w:numPr>
          <w:ilvl w:val="2"/>
          <w:numId w:val="16"/>
        </w:numPr>
        <w:rPr>
          <w:rFonts w:eastAsia="MS Mincho"/>
          <w:lang w:eastAsia="ja-JP"/>
        </w:rPr>
      </w:pPr>
      <w:r w:rsidRPr="00426AA5">
        <w:rPr>
          <w:rFonts w:eastAsia="MS Mincho"/>
          <w:lang w:eastAsia="ja-JP"/>
        </w:rPr>
        <w:t>Option B: Azimuth orientation of TRP is according to macro TRP deployment</w:t>
      </w:r>
    </w:p>
    <w:p w:rsidR="00426AA5" w:rsidRDefault="00426AA5" w:rsidP="00426AA5">
      <w:pPr>
        <w:rPr>
          <w:rFonts w:eastAsia="MS Mincho"/>
          <w:lang w:eastAsia="ja-JP"/>
        </w:rPr>
      </w:pPr>
    </w:p>
    <w:p w:rsidR="00FA3EF4" w:rsidRPr="00FA3EF4" w:rsidRDefault="00426AA5" w:rsidP="00FA3EF4">
      <w:pPr>
        <w:pStyle w:val="BodyText"/>
      </w:pPr>
      <w:r>
        <w:t>In this short paper we give our view on this open issue.</w:t>
      </w:r>
    </w:p>
    <w:p w:rsidR="00FA3EF4" w:rsidRPr="00FA3EF4" w:rsidRDefault="00037C51" w:rsidP="00426AA5">
      <w:pPr>
        <w:pStyle w:val="Heading1"/>
        <w:spacing w:before="180"/>
        <w:ind w:left="562" w:hanging="562"/>
      </w:pPr>
      <w:r>
        <w:t>Discussion</w:t>
      </w:r>
    </w:p>
    <w:p w:rsidR="00927C53" w:rsidRDefault="00FC46DF" w:rsidP="00835FF4">
      <w:pPr>
        <w:pStyle w:val="BodyText"/>
        <w:rPr>
          <w:szCs w:val="20"/>
          <w:lang w:eastAsia="ja-JP"/>
        </w:rPr>
      </w:pPr>
      <w:r>
        <w:rPr>
          <w:szCs w:val="20"/>
          <w:lang w:eastAsia="ja-JP"/>
        </w:rPr>
        <w:t xml:space="preserve">The distinguishing difference between the two options is whether the micro </w:t>
      </w:r>
      <w:r w:rsidR="00927C53">
        <w:rPr>
          <w:szCs w:val="20"/>
          <w:lang w:eastAsia="ja-JP"/>
        </w:rPr>
        <w:t>uses</w:t>
      </w:r>
      <w:r>
        <w:rPr>
          <w:szCs w:val="20"/>
          <w:lang w:eastAsia="ja-JP"/>
        </w:rPr>
        <w:t xml:space="preserve"> </w:t>
      </w:r>
      <w:r w:rsidR="00927C53">
        <w:rPr>
          <w:szCs w:val="20"/>
          <w:lang w:eastAsia="ja-JP"/>
        </w:rPr>
        <w:t>an</w:t>
      </w:r>
      <w:r>
        <w:rPr>
          <w:szCs w:val="20"/>
          <w:lang w:eastAsia="ja-JP"/>
        </w:rPr>
        <w:t xml:space="preserve"> </w:t>
      </w:r>
      <w:proofErr w:type="spellStart"/>
      <w:r>
        <w:rPr>
          <w:szCs w:val="20"/>
          <w:lang w:eastAsia="ja-JP"/>
        </w:rPr>
        <w:t>omni</w:t>
      </w:r>
      <w:proofErr w:type="spellEnd"/>
      <w:r>
        <w:rPr>
          <w:szCs w:val="20"/>
          <w:lang w:eastAsia="ja-JP"/>
        </w:rPr>
        <w:t xml:space="preserve"> or a directional horizontal antenna element pattern. Since the number of antenna elements can be very large (up to 256 at 4 GHz</w:t>
      </w:r>
      <w:r w:rsidR="00927C53">
        <w:rPr>
          <w:szCs w:val="20"/>
          <w:lang w:eastAsia="ja-JP"/>
        </w:rPr>
        <w:t xml:space="preserve"> and 30 GHz and 1024 elements  at 70 GHz (optional carrier frequency)</w:t>
      </w:r>
      <w:r>
        <w:rPr>
          <w:szCs w:val="20"/>
          <w:lang w:eastAsia="ja-JP"/>
        </w:rPr>
        <w:t>), it is most likely an a</w:t>
      </w:r>
      <w:r w:rsidR="00927C53">
        <w:rPr>
          <w:szCs w:val="20"/>
          <w:lang w:eastAsia="ja-JP"/>
        </w:rPr>
        <w:t xml:space="preserve">ntenna panel that will be used and necessary to meet the capacity requirements. </w:t>
      </w:r>
    </w:p>
    <w:p w:rsidR="00835FF4" w:rsidRPr="00927C53" w:rsidRDefault="00FC46DF" w:rsidP="00835FF4">
      <w:pPr>
        <w:pStyle w:val="BodyText"/>
        <w:rPr>
          <w:szCs w:val="20"/>
          <w:lang w:eastAsia="ja-JP"/>
        </w:rPr>
      </w:pPr>
      <w:r>
        <w:rPr>
          <w:szCs w:val="20"/>
          <w:lang w:eastAsia="ja-JP"/>
        </w:rPr>
        <w:t xml:space="preserve">That speaks for </w:t>
      </w:r>
      <w:r w:rsidR="00927C53">
        <w:rPr>
          <w:szCs w:val="20"/>
          <w:lang w:eastAsia="ja-JP"/>
        </w:rPr>
        <w:t xml:space="preserve">assuming </w:t>
      </w:r>
      <w:r>
        <w:rPr>
          <w:szCs w:val="20"/>
          <w:lang w:eastAsia="ja-JP"/>
        </w:rPr>
        <w:t xml:space="preserve">a sector deployment of the micro </w:t>
      </w:r>
      <w:proofErr w:type="gramStart"/>
      <w:r>
        <w:rPr>
          <w:szCs w:val="20"/>
          <w:lang w:eastAsia="ja-JP"/>
        </w:rPr>
        <w:t>cell,</w:t>
      </w:r>
      <w:proofErr w:type="gramEnd"/>
      <w:r>
        <w:rPr>
          <w:szCs w:val="20"/>
          <w:lang w:eastAsia="ja-JP"/>
        </w:rPr>
        <w:t xml:space="preserve"> hence Option 2 seems more realistic than Option 1 in this aspect.  </w:t>
      </w:r>
      <w:r w:rsidR="00F96A43">
        <w:rPr>
          <w:szCs w:val="20"/>
          <w:lang w:eastAsia="ja-JP"/>
        </w:rPr>
        <w:t>Moreover, using a three sector deployment at a micro cell likely occurs less frequent than the single sector deployment, hence we suggest that the first hand choice for evaluations should be the one-sector deployment in Option 2.</w:t>
      </w:r>
    </w:p>
    <w:p w:rsidR="00FE5799" w:rsidRDefault="00927C53" w:rsidP="00BA76BC">
      <w:pPr>
        <w:pStyle w:val="Heading1"/>
        <w:spacing w:before="180"/>
        <w:ind w:left="562" w:hanging="562"/>
      </w:pPr>
      <w:r>
        <w:t>Proposal</w:t>
      </w:r>
    </w:p>
    <w:p w:rsidR="00927C53" w:rsidRDefault="00927C53" w:rsidP="00927C53">
      <w:pPr>
        <w:pStyle w:val="BodyText"/>
      </w:pPr>
      <w:r>
        <w:t xml:space="preserve">In the resolution of the open issue related to R1-166026, we propose to </w:t>
      </w:r>
      <w:r w:rsidR="00F96A43">
        <w:t>use Option 2 with evaluation priority given to the one-sector deployment.</w:t>
      </w:r>
    </w:p>
    <w:p w:rsidR="00927C53" w:rsidRDefault="00927C53" w:rsidP="00927C53">
      <w:pPr>
        <w:pStyle w:val="Heading1"/>
        <w:spacing w:before="180"/>
        <w:ind w:left="562" w:hanging="562"/>
      </w:pPr>
      <w:r>
        <w:t>References</w:t>
      </w:r>
    </w:p>
    <w:p w:rsidR="00927C53" w:rsidRPr="00927C53" w:rsidRDefault="00927C53" w:rsidP="00927C53">
      <w:pPr>
        <w:pStyle w:val="BodyText"/>
        <w:rPr>
          <w:bCs/>
          <w:lang w:val="en-GB"/>
        </w:rPr>
      </w:pPr>
      <w:r>
        <w:t xml:space="preserve">[1] </w:t>
      </w:r>
      <w:r w:rsidRPr="00927C53">
        <w:rPr>
          <w:rFonts w:hint="eastAsia"/>
          <w:b/>
          <w:bCs/>
          <w:lang w:val="en-GB"/>
        </w:rPr>
        <w:t>R1-166026</w:t>
      </w:r>
      <w:r w:rsidRPr="00927C53">
        <w:rPr>
          <w:rFonts w:hint="eastAsia"/>
          <w:b/>
          <w:bCs/>
          <w:lang w:val="en-GB"/>
        </w:rPr>
        <w:tab/>
      </w:r>
      <w:r w:rsidRPr="00927C53">
        <w:rPr>
          <w:bCs/>
        </w:rPr>
        <w:t>WF on the antenna model for outdoor TRP</w:t>
      </w:r>
      <w:r w:rsidRPr="00927C53">
        <w:rPr>
          <w:rFonts w:hint="eastAsia"/>
          <w:bCs/>
        </w:rPr>
        <w:tab/>
      </w:r>
      <w:r w:rsidRPr="00927C53">
        <w:rPr>
          <w:bCs/>
          <w:lang w:val="en-GB"/>
        </w:rPr>
        <w:t xml:space="preserve">Intel, NTT DOCOMO, ZTE, Samsung, </w:t>
      </w:r>
      <w:proofErr w:type="spellStart"/>
      <w:r w:rsidRPr="00927C53">
        <w:rPr>
          <w:bCs/>
          <w:lang w:val="en-GB"/>
        </w:rPr>
        <w:t>Xinwei</w:t>
      </w:r>
      <w:proofErr w:type="spellEnd"/>
      <w:r w:rsidRPr="00927C53">
        <w:rPr>
          <w:bCs/>
          <w:lang w:val="en-GB"/>
        </w:rPr>
        <w:t>, CATT, Ericsson, Nokia, ASB, Huawei</w:t>
      </w:r>
    </w:p>
    <w:p w:rsidR="00927C53" w:rsidRPr="00927C53" w:rsidRDefault="00927C53" w:rsidP="00927C53">
      <w:pPr>
        <w:pStyle w:val="BodyText"/>
        <w:rPr>
          <w:lang w:val="en-GB"/>
        </w:rPr>
      </w:pPr>
    </w:p>
    <w:p w:rsidR="00927C53" w:rsidRPr="00927C53" w:rsidRDefault="00927C53" w:rsidP="00927C53">
      <w:pPr>
        <w:pStyle w:val="BodyText"/>
      </w:pPr>
    </w:p>
    <w:p w:rsidR="00BA76BC" w:rsidRPr="00BA76BC" w:rsidRDefault="00BA76BC" w:rsidP="00BA76BC">
      <w:pPr>
        <w:pStyle w:val="BodyText"/>
      </w:pPr>
    </w:p>
    <w:sectPr w:rsidR="00BA76BC" w:rsidRPr="00BA76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6BE" w:rsidRDefault="002F76BE">
      <w:r>
        <w:separator/>
      </w:r>
    </w:p>
  </w:endnote>
  <w:endnote w:type="continuationSeparator" w:id="0">
    <w:p w:rsidR="002F76BE" w:rsidRDefault="002F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6BE" w:rsidRDefault="002F76BE">
      <w:r>
        <w:separator/>
      </w:r>
    </w:p>
  </w:footnote>
  <w:footnote w:type="continuationSeparator" w:id="0">
    <w:p w:rsidR="002F76BE" w:rsidRDefault="002F7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2F76BE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05FB8"/>
    <w:multiLevelType w:val="hybridMultilevel"/>
    <w:tmpl w:val="C8F03238"/>
    <w:lvl w:ilvl="0" w:tplc="E770357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967FC4">
      <w:start w:val="11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E4A7BC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0EF2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CE85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E2AB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6D4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76550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6C7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3D7384"/>
    <w:multiLevelType w:val="hybridMultilevel"/>
    <w:tmpl w:val="9D4CEC60"/>
    <w:lvl w:ilvl="0" w:tplc="D3167E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26A78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DD0A95A">
      <w:start w:val="1500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DC2046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F2C07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5D869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3035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A7834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CB200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C7E4A"/>
    <w:multiLevelType w:val="hybridMultilevel"/>
    <w:tmpl w:val="7E2A70D4"/>
    <w:lvl w:ilvl="0" w:tplc="F9D856F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D6C48E">
      <w:start w:val="1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4426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8CAE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2412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819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8CAC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8A8E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2E0F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8331F0E"/>
    <w:multiLevelType w:val="hybridMultilevel"/>
    <w:tmpl w:val="10CCC836"/>
    <w:lvl w:ilvl="0" w:tplc="37AC30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EE0E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7E69E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06AC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C82D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2EC9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86FCA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4B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1877B54"/>
    <w:multiLevelType w:val="hybridMultilevel"/>
    <w:tmpl w:val="20C0D7F0"/>
    <w:lvl w:ilvl="0" w:tplc="A2C4DE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E3C31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76C06DE">
      <w:start w:val="202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1C00354">
      <w:start w:val="20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C767B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7A82A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CB4E3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37CEE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F9ACD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>
    <w:nsid w:val="5CA27313"/>
    <w:multiLevelType w:val="hybridMultilevel"/>
    <w:tmpl w:val="E22E9088"/>
    <w:lvl w:ilvl="0" w:tplc="1F927A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8D6DC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3364B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84EC56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4A0C3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1B40C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28079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9D6E7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E16A4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>
    <w:nsid w:val="5E970E0B"/>
    <w:multiLevelType w:val="hybridMultilevel"/>
    <w:tmpl w:val="E026A52A"/>
    <w:lvl w:ilvl="0" w:tplc="E0AA7D3A">
      <w:start w:val="1"/>
      <w:numFmt w:val="bullet"/>
      <w:lvlText w:val="›"/>
      <w:lvlJc w:val="left"/>
      <w:pPr>
        <w:tabs>
          <w:tab w:val="num" w:pos="1642"/>
        </w:tabs>
        <w:ind w:left="1642" w:hanging="360"/>
      </w:pPr>
      <w:rPr>
        <w:rFonts w:ascii="Arial" w:hAnsi="Arial" w:hint="default"/>
      </w:rPr>
    </w:lvl>
    <w:lvl w:ilvl="1" w:tplc="8F70204C">
      <w:start w:val="1126"/>
      <w:numFmt w:val="bullet"/>
      <w:lvlText w:val="–"/>
      <w:lvlJc w:val="left"/>
      <w:pPr>
        <w:tabs>
          <w:tab w:val="num" w:pos="2362"/>
        </w:tabs>
        <w:ind w:left="2362" w:hanging="360"/>
      </w:pPr>
      <w:rPr>
        <w:rFonts w:ascii="Ericsson Capital TT" w:hAnsi="Ericsson Capital TT" w:hint="default"/>
      </w:rPr>
    </w:lvl>
    <w:lvl w:ilvl="2" w:tplc="498E3EA0" w:tentative="1">
      <w:start w:val="1"/>
      <w:numFmt w:val="bullet"/>
      <w:lvlText w:val="›"/>
      <w:lvlJc w:val="left"/>
      <w:pPr>
        <w:tabs>
          <w:tab w:val="num" w:pos="3082"/>
        </w:tabs>
        <w:ind w:left="3082" w:hanging="360"/>
      </w:pPr>
      <w:rPr>
        <w:rFonts w:ascii="Arial" w:hAnsi="Arial" w:hint="default"/>
      </w:rPr>
    </w:lvl>
    <w:lvl w:ilvl="3" w:tplc="D870CDA2" w:tentative="1">
      <w:start w:val="1"/>
      <w:numFmt w:val="bullet"/>
      <w:lvlText w:val="›"/>
      <w:lvlJc w:val="left"/>
      <w:pPr>
        <w:tabs>
          <w:tab w:val="num" w:pos="3802"/>
        </w:tabs>
        <w:ind w:left="3802" w:hanging="360"/>
      </w:pPr>
      <w:rPr>
        <w:rFonts w:ascii="Arial" w:hAnsi="Arial" w:hint="default"/>
      </w:rPr>
    </w:lvl>
    <w:lvl w:ilvl="4" w:tplc="7E2CF4B6" w:tentative="1">
      <w:start w:val="1"/>
      <w:numFmt w:val="bullet"/>
      <w:lvlText w:val="›"/>
      <w:lvlJc w:val="left"/>
      <w:pPr>
        <w:tabs>
          <w:tab w:val="num" w:pos="4522"/>
        </w:tabs>
        <w:ind w:left="4522" w:hanging="360"/>
      </w:pPr>
      <w:rPr>
        <w:rFonts w:ascii="Arial" w:hAnsi="Arial" w:hint="default"/>
      </w:rPr>
    </w:lvl>
    <w:lvl w:ilvl="5" w:tplc="6BC6E1DE" w:tentative="1">
      <w:start w:val="1"/>
      <w:numFmt w:val="bullet"/>
      <w:lvlText w:val="›"/>
      <w:lvlJc w:val="left"/>
      <w:pPr>
        <w:tabs>
          <w:tab w:val="num" w:pos="5242"/>
        </w:tabs>
        <w:ind w:left="5242" w:hanging="360"/>
      </w:pPr>
      <w:rPr>
        <w:rFonts w:ascii="Arial" w:hAnsi="Arial" w:hint="default"/>
      </w:rPr>
    </w:lvl>
    <w:lvl w:ilvl="6" w:tplc="ACA488CE" w:tentative="1">
      <w:start w:val="1"/>
      <w:numFmt w:val="bullet"/>
      <w:lvlText w:val="›"/>
      <w:lvlJc w:val="left"/>
      <w:pPr>
        <w:tabs>
          <w:tab w:val="num" w:pos="5962"/>
        </w:tabs>
        <w:ind w:left="5962" w:hanging="360"/>
      </w:pPr>
      <w:rPr>
        <w:rFonts w:ascii="Arial" w:hAnsi="Arial" w:hint="default"/>
      </w:rPr>
    </w:lvl>
    <w:lvl w:ilvl="7" w:tplc="ADB8DC86" w:tentative="1">
      <w:start w:val="1"/>
      <w:numFmt w:val="bullet"/>
      <w:lvlText w:val="›"/>
      <w:lvlJc w:val="left"/>
      <w:pPr>
        <w:tabs>
          <w:tab w:val="num" w:pos="6682"/>
        </w:tabs>
        <w:ind w:left="6682" w:hanging="360"/>
      </w:pPr>
      <w:rPr>
        <w:rFonts w:ascii="Arial" w:hAnsi="Arial" w:hint="default"/>
      </w:rPr>
    </w:lvl>
    <w:lvl w:ilvl="8" w:tplc="C14408E0" w:tentative="1">
      <w:start w:val="1"/>
      <w:numFmt w:val="bullet"/>
      <w:lvlText w:val="›"/>
      <w:lvlJc w:val="left"/>
      <w:pPr>
        <w:tabs>
          <w:tab w:val="num" w:pos="7402"/>
        </w:tabs>
        <w:ind w:left="7402" w:hanging="360"/>
      </w:pPr>
      <w:rPr>
        <w:rFonts w:ascii="Arial" w:hAnsi="Arial" w:hint="default"/>
      </w:rPr>
    </w:lvl>
  </w:abstractNum>
  <w:abstractNum w:abstractNumId="12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875E1"/>
    <w:multiLevelType w:val="hybridMultilevel"/>
    <w:tmpl w:val="0FCC7AAA"/>
    <w:lvl w:ilvl="0" w:tplc="6DE205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6AC90C">
      <w:start w:val="2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842E44">
      <w:start w:val="2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A3806">
      <w:start w:val="21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A6D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E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4F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B80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9CB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1"/>
  </w:num>
  <w:num w:numId="11">
    <w:abstractNumId w:val="2"/>
  </w:num>
  <w:num w:numId="12">
    <w:abstractNumId w:val="7"/>
  </w:num>
  <w:num w:numId="13">
    <w:abstractNumId w:val="10"/>
  </w:num>
  <w:num w:numId="14">
    <w:abstractNumId w:val="9"/>
  </w:num>
  <w:num w:numId="15">
    <w:abstractNumId w:val="8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A258F"/>
    <w:rsid w:val="000D6F0F"/>
    <w:rsid w:val="000F4AF3"/>
    <w:rsid w:val="001076FC"/>
    <w:rsid w:val="00112E18"/>
    <w:rsid w:val="00114B6A"/>
    <w:rsid w:val="0013216A"/>
    <w:rsid w:val="00141448"/>
    <w:rsid w:val="00175D32"/>
    <w:rsid w:val="0017779E"/>
    <w:rsid w:val="0021013F"/>
    <w:rsid w:val="00217E59"/>
    <w:rsid w:val="00290099"/>
    <w:rsid w:val="002B35F0"/>
    <w:rsid w:val="002B4B7C"/>
    <w:rsid w:val="002F76BE"/>
    <w:rsid w:val="00321694"/>
    <w:rsid w:val="003875A3"/>
    <w:rsid w:val="00422F7B"/>
    <w:rsid w:val="00426AA5"/>
    <w:rsid w:val="00443D10"/>
    <w:rsid w:val="004B57FD"/>
    <w:rsid w:val="0055264E"/>
    <w:rsid w:val="005C439D"/>
    <w:rsid w:val="005D36D0"/>
    <w:rsid w:val="0061336B"/>
    <w:rsid w:val="006A286A"/>
    <w:rsid w:val="0075384C"/>
    <w:rsid w:val="007A01C0"/>
    <w:rsid w:val="007A7B94"/>
    <w:rsid w:val="00834DE7"/>
    <w:rsid w:val="00835FF4"/>
    <w:rsid w:val="008B23D4"/>
    <w:rsid w:val="008C403E"/>
    <w:rsid w:val="00927C53"/>
    <w:rsid w:val="00973B18"/>
    <w:rsid w:val="009A6BB8"/>
    <w:rsid w:val="009B2E48"/>
    <w:rsid w:val="00A47015"/>
    <w:rsid w:val="00A617DA"/>
    <w:rsid w:val="00A81AA1"/>
    <w:rsid w:val="00A85E54"/>
    <w:rsid w:val="00AA13EF"/>
    <w:rsid w:val="00AE3920"/>
    <w:rsid w:val="00B368D9"/>
    <w:rsid w:val="00BA2CDD"/>
    <w:rsid w:val="00BA76BC"/>
    <w:rsid w:val="00C147AE"/>
    <w:rsid w:val="00C1560A"/>
    <w:rsid w:val="00C22971"/>
    <w:rsid w:val="00C326A6"/>
    <w:rsid w:val="00C471DE"/>
    <w:rsid w:val="00C61496"/>
    <w:rsid w:val="00C73869"/>
    <w:rsid w:val="00C75368"/>
    <w:rsid w:val="00C93774"/>
    <w:rsid w:val="00CD3D3B"/>
    <w:rsid w:val="00CE28B2"/>
    <w:rsid w:val="00CF2225"/>
    <w:rsid w:val="00CF67BE"/>
    <w:rsid w:val="00D02349"/>
    <w:rsid w:val="00D03119"/>
    <w:rsid w:val="00D04257"/>
    <w:rsid w:val="00DA110D"/>
    <w:rsid w:val="00DA2DC8"/>
    <w:rsid w:val="00DE3421"/>
    <w:rsid w:val="00E63D88"/>
    <w:rsid w:val="00F37D49"/>
    <w:rsid w:val="00F96A43"/>
    <w:rsid w:val="00FA3EF4"/>
    <w:rsid w:val="00FC46DF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7970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97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11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16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786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46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74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780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1730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02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4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307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3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14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7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070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0757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022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4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25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03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29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4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7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82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77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3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2016-08-12T14:11:00Z</dcterms:created>
  <dcterms:modified xsi:type="dcterms:W3CDTF">2016-08-12T14:12:00Z</dcterms:modified>
</cp:coreProperties>
</file>